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11111"/>
          <w:sz w:val="48"/>
        </w:rPr>
        <w:t>测试报告</w:t>
      </w:r>
    </w:p>
    <w:p>
      <w:pPr>
        <w:jc w:val="center"/>
      </w:pPr>
      <w:r>
        <w:rPr>
          <w:rFonts w:ascii="微软雅黑" w:hAnsi="微软雅黑" w:eastAsia="微软雅黑"/>
          <w:color w:val="666666"/>
          <w:sz w:val="26"/>
        </w:rPr>
        <w:t>CapacityReport 容量报表处理系统</w:t>
      </w:r>
    </w:p>
    <w:p/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一、介绍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7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内容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工具名称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CapacityReport（容量报表处理系统）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版本号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3.0.0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测试日期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2026-06-26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测试人员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（请填写）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联系信息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（请填写）</w:t>
            </w:r>
          </w:p>
        </w:tc>
      </w:tr>
    </w:tbl>
    <w:p/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二、测试目的</w:t>
      </w:r>
    </w:p>
    <w:p>
      <w:r>
        <w:rPr>
          <w:rFonts w:ascii="微软雅黑" w:hAnsi="微软雅黑" w:eastAsia="微软雅黑"/>
        </w:rPr>
        <w:t>验证 CapacityReport 在真实使用场景下的功能正确性、稳定性与性能表现，测试范围包括：</w:t>
      </w:r>
    </w:p>
    <w:p>
      <w:pPr>
        <w:pStyle w:val="ListBullet"/>
      </w:pPr>
      <w:r>
        <w:rPr>
          <w:rFonts w:ascii="微软雅黑" w:hAnsi="微软雅黑" w:eastAsia="微软雅黑"/>
        </w:rPr>
        <w:t>功能测试：数据处理、容量看板、处理历史、数据管理、脚本编辑、系统设置各模块功能。</w:t>
      </w:r>
    </w:p>
    <w:p>
      <w:pPr>
        <w:pStyle w:val="ListBullet"/>
      </w:pPr>
      <w:r>
        <w:rPr>
          <w:rFonts w:ascii="微软雅黑" w:hAnsi="微软雅黑" w:eastAsia="微软雅黑"/>
        </w:rPr>
        <w:t>性能测试：大数据量（4G/5G 各数百万行）下的处理耗时与资源占用。</w:t>
      </w:r>
    </w:p>
    <w:p>
      <w:pPr>
        <w:pStyle w:val="ListBullet"/>
      </w:pPr>
      <w:r>
        <w:rPr>
          <w:rFonts w:ascii="微软雅黑" w:hAnsi="微软雅黑" w:eastAsia="微软雅黑"/>
        </w:rPr>
        <w:t>兼容性测试：服务端版、桌面版、Docker 版三种发布形态的运行情况。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三、测试环境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7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配置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操作系统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Windows 10 64 位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数据库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MySQL 8.0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硬件配置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CPU 8 核 / 内存 16 GB / SSD 硬盘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数据源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FTP/SFTP 服务器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访问方式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浏览器（Chrome / Edge）及桌面客户端</w:t>
            </w:r>
          </w:p>
        </w:tc>
      </w:tr>
    </w:tbl>
    <w:p/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四、测试用例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0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编号</w:t>
            </w:r>
          </w:p>
        </w:tc>
        <w:tc>
          <w:tcPr>
            <w:tcW w:type="dxa" w:w="2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用例名称</w:t>
            </w:r>
          </w:p>
        </w:tc>
        <w:tc>
          <w:tcPr>
            <w:tcW w:type="dxa" w:w="30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输入</w:t>
            </w:r>
          </w:p>
        </w:tc>
        <w:tc>
          <w:tcPr>
            <w:tcW w:type="dxa" w:w="3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预期输出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TC-01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登录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默认账号 root / Capacity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登录成功并进入主界面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TC-02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数据库连接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正确的 MySQL 连接信息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测试连接成功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TC-03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本地上传处理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本周容量数据 ZIP 文件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解压清洗入库并生成结果表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TC-04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远程下载处理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已配置的 FTP/SFTP 目录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自动下载并完成处理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TC-05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容量看板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已生成 4G/5G 结果表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正确展示汇总、图表与问题小区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TC-06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数据管理导出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选择结果表导出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导出 CSV/XLSX 文件正确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TC-07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脚本编辑执行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编辑并运行报表 SQL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执行成功并返回日志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TC-08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处理历史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查看历史任务</w:t>
            </w:r>
          </w:p>
        </w:tc>
        <w:tc>
          <w:tcPr>
            <w:tcW w:type="dxa" w:w="3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正确显示日志并可下载原始数据</w:t>
            </w:r>
          </w:p>
        </w:tc>
      </w:tr>
    </w:tbl>
    <w:p/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五、测试结果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0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编号</w:t>
            </w:r>
          </w:p>
        </w:tc>
        <w:tc>
          <w:tcPr>
            <w:tcW w:type="dxa" w:w="2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用例名称</w:t>
            </w:r>
          </w:p>
        </w:tc>
        <w:tc>
          <w:tcPr>
            <w:tcW w:type="dxa" w:w="1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结果</w:t>
            </w:r>
          </w:p>
        </w:tc>
        <w:tc>
          <w:tcPr>
            <w:tcW w:type="dxa" w:w="50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TC-01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登录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登录与会话保持正常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TC-02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数据库连接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连接测试反馈准确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TC-03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本地上传处理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处理阶段与日志实时显示，结果表正确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TC-04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远程下载处理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下载与处理流程正常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TC-05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容量看板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图表与问题小区清单展示正确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TC-06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数据管理导出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CSV/XLSX 导出内容正确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TC-07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脚本编辑执行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保存自动备份，执行返回日志</w:t>
            </w:r>
          </w:p>
        </w:tc>
      </w:tr>
      <w:tr>
        <w:tc>
          <w:tcPr>
            <w:tcW w:type="dxa" w:w="1000"/>
          </w:tcPr>
          <w:p>
            <w:r/>
            <w:r>
              <w:rPr>
                <w:rFonts w:ascii="微软雅黑" w:hAnsi="微软雅黑" w:eastAsia="微软雅黑"/>
                <w:sz w:val="21"/>
              </w:rPr>
              <w:t>TC-08</w:t>
            </w:r>
          </w:p>
        </w:tc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处理历史</w:t>
            </w:r>
          </w:p>
        </w:tc>
        <w:tc>
          <w:tcPr>
            <w:tcW w:type="dxa" w:w="1200"/>
          </w:tcPr>
          <w:p>
            <w:r/>
            <w:r>
              <w:rPr>
                <w:rFonts w:ascii="微软雅黑" w:hAnsi="微软雅黑" w:eastAsia="微软雅黑"/>
                <w:sz w:val="21"/>
              </w:rPr>
              <w:t>通过</w:t>
            </w:r>
          </w:p>
        </w:tc>
        <w:tc>
          <w:tcPr>
            <w:tcW w:type="dxa" w:w="5000"/>
          </w:tcPr>
          <w:p>
            <w:r/>
            <w:r>
              <w:rPr>
                <w:rFonts w:ascii="微软雅黑" w:hAnsi="微软雅黑" w:eastAsia="微软雅黑"/>
                <w:sz w:val="21"/>
              </w:rPr>
              <w:t>日志与原始数据下载正常</w:t>
            </w:r>
          </w:p>
        </w:tc>
      </w:tr>
    </w:tbl>
    <w:p/>
    <w:p>
      <w:r>
        <w:rPr>
          <w:rFonts w:ascii="微软雅黑" w:hAnsi="微软雅黑" w:eastAsia="微软雅黑"/>
        </w:rPr>
        <w:t>结论：全部测试用例通过，未发现阻断性缺陷。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六、改进规划</w:t>
      </w:r>
    </w:p>
    <w:p>
      <w:pPr>
        <w:pStyle w:val="ListBullet"/>
      </w:pPr>
      <w:r>
        <w:rPr>
          <w:rFonts w:ascii="微软雅黑" w:hAnsi="微软雅黑" w:eastAsia="微软雅黑"/>
        </w:rPr>
        <w:t>前端看板部分大体积资源可进一步拆分，优化首次加载速度。</w:t>
      </w:r>
    </w:p>
    <w:p>
      <w:pPr>
        <w:pStyle w:val="ListBullet"/>
      </w:pPr>
      <w:r>
        <w:rPr>
          <w:rFonts w:ascii="微软雅黑" w:hAnsi="微软雅黑" w:eastAsia="微软雅黑"/>
        </w:rPr>
        <w:t>完善异常场景的友好提示（如远程目录为空、字段映射缺失等）。</w:t>
      </w:r>
    </w:p>
    <w:p>
      <w:pPr>
        <w:pStyle w:val="ListBullet"/>
      </w:pPr>
      <w:r>
        <w:rPr>
          <w:rFonts w:ascii="微软雅黑" w:hAnsi="微软雅黑" w:eastAsia="微软雅黑"/>
        </w:rPr>
        <w:t>增加更多处理过程的可视化进度与统计信息。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七、性能评估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8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指标</w:t>
            </w:r>
          </w:p>
        </w:tc>
        <w:tc>
          <w:tcPr>
            <w:tcW w:type="dxa" w:w="30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表现</w:t>
            </w:r>
          </w:p>
        </w:tc>
        <w:tc>
          <w:tcPr>
            <w:tcW w:type="dxa" w:w="46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数据规模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4G/5G 各数百万行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单期处理的典型数据量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处理耗时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随数据量线性增长，整体可控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批量入库 + SQL 计算优化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资源占用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内存占用稳定，无明显泄漏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长任务运行平稳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页面响应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界面操作流畅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看板与数据管理分页加载</w:t>
            </w:r>
          </w:p>
        </w:tc>
      </w:tr>
    </w:tbl>
    <w:p/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八、总结与结论</w:t>
      </w:r>
    </w:p>
    <w:p>
      <w:r>
        <w:rPr>
          <w:rFonts w:ascii="微软雅黑" w:hAnsi="微软雅黑" w:eastAsia="微软雅黑"/>
        </w:rPr>
        <w:t>经过功能、性能与兼容性测试，CapacityReport 各模块功能完整、运行稳定，能够正确完成从数据获取、清洗入库到报表计算与高负荷分析的完整流程。工具具备良好的稳定性、可靠性与适用性，满足每周容量报表处理的实际业务需求，可投入使用。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