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微软雅黑" w:hAnsi="微软雅黑" w:eastAsia="微软雅黑"/>
          <w:b/>
          <w:color w:val="111111"/>
          <w:sz w:val="48"/>
        </w:rPr>
        <w:t>工具说明书</w:t>
      </w:r>
    </w:p>
    <w:p>
      <w:pPr>
        <w:jc w:val="center"/>
      </w:pPr>
      <w:r>
        <w:rPr>
          <w:rFonts w:ascii="微软雅黑" w:hAnsi="微软雅黑" w:eastAsia="微软雅黑"/>
          <w:color w:val="666666"/>
          <w:sz w:val="26"/>
        </w:rPr>
        <w:t>CapacityReport 容量报表处理系统</w:t>
      </w:r>
    </w:p>
    <w:p/>
    <w:p>
      <w:pPr>
        <w:spacing w:before="240" w:after="120"/>
      </w:pPr>
      <w:r>
        <w:rPr>
          <w:rFonts w:ascii="微软雅黑" w:hAnsi="微软雅黑" w:eastAsia="微软雅黑"/>
          <w:b/>
          <w:color w:val="1F6FEB"/>
          <w:sz w:val="32"/>
        </w:rPr>
        <w:t>一、介绍</w:t>
      </w:r>
    </w:p>
    <w:p>
      <w:pPr>
        <w:spacing w:before="120"/>
      </w:pPr>
      <w:r>
        <w:rPr>
          <w:rFonts w:ascii="微软雅黑" w:hAnsi="微软雅黑" w:eastAsia="微软雅黑"/>
          <w:b/>
          <w:color w:val="222222"/>
          <w:sz w:val="26"/>
        </w:rPr>
        <w:t>1. 基本信息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200"/>
            <w:shd w:val="clear" w:color="auto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项目</w:t>
            </w:r>
          </w:p>
        </w:tc>
        <w:tc>
          <w:tcPr>
            <w:tcW w:type="dxa" w:w="7200"/>
            <w:shd w:val="clear" w:color="auto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内容</w:t>
            </w:r>
          </w:p>
        </w:tc>
      </w:tr>
      <w:tr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工具名称</w:t>
            </w:r>
          </w:p>
        </w:tc>
        <w:tc>
          <w:tcPr>
            <w:tcW w:type="dxa" w:w="7200"/>
          </w:tcPr>
          <w:p>
            <w:r/>
            <w:r>
              <w:rPr>
                <w:rFonts w:ascii="微软雅黑" w:hAnsi="微软雅黑" w:eastAsia="微软雅黑"/>
                <w:sz w:val="21"/>
              </w:rPr>
              <w:t>CapacityReport（容量报表处理系统）</w:t>
            </w:r>
          </w:p>
        </w:tc>
      </w:tr>
      <w:tr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版本号</w:t>
            </w:r>
          </w:p>
        </w:tc>
        <w:tc>
          <w:tcPr>
            <w:tcW w:type="dxa" w:w="7200"/>
          </w:tcPr>
          <w:p>
            <w:r/>
            <w:r>
              <w:rPr>
                <w:rFonts w:ascii="微软雅黑" w:hAnsi="微软雅黑" w:eastAsia="微软雅黑"/>
                <w:sz w:val="21"/>
              </w:rPr>
              <w:t>3.0.0</w:t>
            </w:r>
          </w:p>
        </w:tc>
      </w:tr>
      <w:tr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作者</w:t>
            </w:r>
          </w:p>
        </w:tc>
        <w:tc>
          <w:tcPr>
            <w:tcW w:type="dxa" w:w="7200"/>
          </w:tcPr>
          <w:p>
            <w:r/>
            <w:r>
              <w:rPr>
                <w:rFonts w:ascii="微软雅黑" w:hAnsi="微软雅黑" w:eastAsia="微软雅黑"/>
                <w:sz w:val="21"/>
              </w:rPr>
              <w:t>NIXEVOL</w:t>
            </w:r>
          </w:p>
        </w:tc>
      </w:tr>
    </w:tbl>
    <w:p/>
    <w:p>
      <w:pPr>
        <w:spacing w:before="120"/>
      </w:pPr>
      <w:r>
        <w:rPr>
          <w:rFonts w:ascii="微软雅黑" w:hAnsi="微软雅黑" w:eastAsia="微软雅黑"/>
          <w:b/>
          <w:color w:val="222222"/>
          <w:sz w:val="26"/>
        </w:rPr>
        <w:t>2. 简要描述与用途</w:t>
      </w:r>
    </w:p>
    <w:p>
      <w:r>
        <w:rPr>
          <w:rFonts w:ascii="微软雅黑" w:hAnsi="微软雅黑" w:eastAsia="微软雅黑"/>
        </w:rPr>
        <w:t>CapacityReport 用于处理每周的网络容量报表数据。它支持从本地上传或 FTP/SFTP 远程目录获取 Excel/CSV/ZIP 数据，按字段映射自动清洗并入库到 MySQL，再执行业务 SQL 生成 4G/5G 容量结果表，并通过容量看板对高负荷小区进行可视化分析。</w:t>
      </w:r>
    </w:p>
    <w:p>
      <w:r>
        <w:rPr>
          <w:rFonts w:ascii="微软雅黑" w:hAnsi="微软雅黑" w:eastAsia="微软雅黑"/>
        </w:rPr>
        <w:t>它主要解决以下问题：</w:t>
      </w:r>
    </w:p>
    <w:p>
      <w:pPr>
        <w:pStyle w:val="ListBullet"/>
      </w:pPr>
      <w:r>
        <w:rPr>
          <w:rFonts w:ascii="微软雅黑" w:hAnsi="微软雅黑" w:eastAsia="微软雅黑"/>
        </w:rPr>
        <w:t>替代人工 Excel 处理海量小区数据，避免卡顿和公式出错。</w:t>
      </w:r>
    </w:p>
    <w:p>
      <w:pPr>
        <w:pStyle w:val="ListBullet"/>
      </w:pPr>
      <w:r>
        <w:rPr>
          <w:rFonts w:ascii="微软雅黑" w:hAnsi="微软雅黑" w:eastAsia="微软雅黑"/>
        </w:rPr>
        <w:t>统一字段映射与高负荷判定规则，处理过程标准化、可复用。</w:t>
      </w:r>
    </w:p>
    <w:p>
      <w:pPr>
        <w:pStyle w:val="ListBullet"/>
      </w:pPr>
      <w:r>
        <w:rPr>
          <w:rFonts w:ascii="微软雅黑" w:hAnsi="微软雅黑" w:eastAsia="微软雅黑"/>
        </w:rPr>
        <w:t>提供完整的处理历史与日志，数据可追溯。</w:t>
      </w:r>
    </w:p>
    <w:p>
      <w:pPr>
        <w:pStyle w:val="ListBullet"/>
      </w:pPr>
      <w:r>
        <w:rPr>
          <w:rFonts w:ascii="微软雅黑" w:hAnsi="微软雅黑" w:eastAsia="微软雅黑"/>
        </w:rPr>
        <w:t>支持自动调度，减少每周的重复人工操作。</w:t>
      </w:r>
    </w:p>
    <w:p>
      <w:pPr>
        <w:spacing w:before="240" w:after="120"/>
      </w:pPr>
      <w:r>
        <w:rPr>
          <w:rFonts w:ascii="微软雅黑" w:hAnsi="微软雅黑" w:eastAsia="微软雅黑"/>
          <w:b/>
          <w:color w:val="1F6FEB"/>
          <w:sz w:val="32"/>
        </w:rPr>
        <w:t>二、安装与配置</w:t>
      </w:r>
    </w:p>
    <w:p>
      <w:pPr>
        <w:spacing w:before="120"/>
      </w:pPr>
      <w:r>
        <w:rPr>
          <w:rFonts w:ascii="微软雅黑" w:hAnsi="微软雅黑" w:eastAsia="微软雅黑"/>
          <w:b/>
          <w:color w:val="222222"/>
          <w:sz w:val="26"/>
        </w:rPr>
        <w:t>1. 系统要求与依赖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200"/>
            <w:shd w:val="clear" w:color="auto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项目</w:t>
            </w:r>
          </w:p>
        </w:tc>
        <w:tc>
          <w:tcPr>
            <w:tcW w:type="dxa" w:w="7200"/>
            <w:shd w:val="clear" w:color="auto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要求</w:t>
            </w:r>
          </w:p>
        </w:tc>
      </w:tr>
      <w:tr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操作系统</w:t>
            </w:r>
          </w:p>
        </w:tc>
        <w:tc>
          <w:tcPr>
            <w:tcW w:type="dxa" w:w="7200"/>
          </w:tcPr>
          <w:p>
            <w:r/>
            <w:r>
              <w:rPr>
                <w:rFonts w:ascii="微软雅黑" w:hAnsi="微软雅黑" w:eastAsia="微软雅黑"/>
                <w:sz w:val="21"/>
              </w:rPr>
              <w:t>Windows 10/11、Linux 或 macOS</w:t>
            </w:r>
          </w:p>
        </w:tc>
      </w:tr>
      <w:tr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数据库</w:t>
            </w:r>
          </w:p>
        </w:tc>
        <w:tc>
          <w:tcPr>
            <w:tcW w:type="dxa" w:w="7200"/>
          </w:tcPr>
          <w:p>
            <w:r/>
            <w:r>
              <w:rPr>
                <w:rFonts w:ascii="微软雅黑" w:hAnsi="微软雅黑" w:eastAsia="微软雅黑"/>
                <w:sz w:val="21"/>
              </w:rPr>
              <w:t>MySQL 8.0 及以上</w:t>
            </w:r>
          </w:p>
        </w:tc>
      </w:tr>
      <w:tr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数据源</w:t>
            </w:r>
          </w:p>
        </w:tc>
        <w:tc>
          <w:tcPr>
            <w:tcW w:type="dxa" w:w="7200"/>
          </w:tcPr>
          <w:p>
            <w:r/>
            <w:r>
              <w:rPr>
                <w:rFonts w:ascii="微软雅黑" w:hAnsi="微软雅黑" w:eastAsia="微软雅黑"/>
                <w:sz w:val="21"/>
              </w:rPr>
              <w:t>FTP/SFTP 服务器（远程下载时使用）</w:t>
            </w:r>
          </w:p>
        </w:tc>
      </w:tr>
      <w:tr>
        <w:tc>
          <w:tcPr>
            <w:tcW w:type="dxa" w:w="2200"/>
          </w:tcPr>
          <w:p>
            <w:r/>
            <w:r>
              <w:rPr>
                <w:rFonts w:ascii="微软雅黑" w:hAnsi="微软雅黑" w:eastAsia="微软雅黑"/>
                <w:sz w:val="21"/>
              </w:rPr>
              <w:t>运行环境</w:t>
            </w:r>
          </w:p>
        </w:tc>
        <w:tc>
          <w:tcPr>
            <w:tcW w:type="dxa" w:w="7200"/>
          </w:tcPr>
          <w:p>
            <w:r/>
            <w:r>
              <w:rPr>
                <w:rFonts w:ascii="微软雅黑" w:hAnsi="微软雅黑" w:eastAsia="微软雅黑"/>
                <w:sz w:val="21"/>
              </w:rPr>
              <w:t>服务端/桌面版自带运行所需组件，无需额外安装 Python</w:t>
            </w:r>
          </w:p>
        </w:tc>
      </w:tr>
    </w:tbl>
    <w:p/>
    <w:p>
      <w:pPr>
        <w:spacing w:before="120"/>
      </w:pPr>
      <w:r>
        <w:rPr>
          <w:rFonts w:ascii="微软雅黑" w:hAnsi="微软雅黑" w:eastAsia="微软雅黑"/>
          <w:b/>
          <w:color w:val="222222"/>
          <w:sz w:val="26"/>
        </w:rPr>
        <w:t>2. 安装步骤</w:t>
      </w:r>
    </w:p>
    <w:p>
      <w:r>
        <w:rPr>
          <w:rFonts w:ascii="微软雅黑" w:hAnsi="微软雅黑" w:eastAsia="微软雅黑"/>
        </w:rPr>
        <w:t>根据使用场景选择任意一种发布形态：</w:t>
      </w:r>
    </w:p>
    <w:p>
      <w:pPr>
        <w:pStyle w:val="ListBullet"/>
      </w:pPr>
      <w:r>
        <w:rPr>
          <w:rFonts w:ascii="微软雅黑" w:hAnsi="微软雅黑" w:eastAsia="微软雅黑"/>
        </w:rPr>
        <w:t>桌面版：运行安装程序 CapacityReport_3.0.0_x64-setup.exe，按提示安装后双击启动（Windows 默认安装到 D:\Program Files\CapacityReport）。</w:t>
      </w:r>
    </w:p>
    <w:p>
      <w:pPr>
        <w:pStyle w:val="ListBullet"/>
      </w:pPr>
      <w:r>
        <w:rPr>
          <w:rFonts w:ascii="微软雅黑" w:hAnsi="微软雅黑" w:eastAsia="微软雅黑"/>
        </w:rPr>
        <w:t>服务端便携版：解压压缩包后运行目录下的启动脚本（Windows 为 run.bat，Linux/macOS 为 start.sh）。</w:t>
      </w:r>
    </w:p>
    <w:p>
      <w:pPr>
        <w:pStyle w:val="ListBullet"/>
      </w:pPr>
      <w:r>
        <w:rPr>
          <w:rFonts w:ascii="微软雅黑" w:hAnsi="微软雅黑" w:eastAsia="微软雅黑"/>
        </w:rPr>
        <w:t>Docker 版：导入镜像后使用 docker compose 启动。</w:t>
      </w:r>
    </w:p>
    <w:p>
      <w:pPr>
        <w:spacing w:before="120"/>
      </w:pPr>
      <w:r>
        <w:rPr>
          <w:rFonts w:ascii="微软雅黑" w:hAnsi="微软雅黑" w:eastAsia="微软雅黑"/>
          <w:b/>
          <w:color w:val="222222"/>
          <w:sz w:val="26"/>
        </w:rPr>
        <w:t>3. 配置说明</w:t>
      </w:r>
    </w:p>
    <w:p>
      <w:r>
        <w:rPr>
          <w:rFonts w:ascii="微软雅黑" w:hAnsi="微软雅黑" w:eastAsia="微软雅黑"/>
        </w:rPr>
        <w:t>首次启动后，在浏览器访问 http://localhost:9081（桌面版直接打开应用窗口），使用默认账号登录后进入系统设置完成配置：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800"/>
            <w:shd w:val="clear" w:color="auto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配置项</w:t>
            </w:r>
          </w:p>
        </w:tc>
        <w:tc>
          <w:tcPr>
            <w:tcW w:type="dxa" w:w="3000"/>
            <w:shd w:val="clear" w:color="auto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位置</w:t>
            </w:r>
          </w:p>
        </w:tc>
        <w:tc>
          <w:tcPr>
            <w:tcW w:type="dxa" w:w="4600"/>
            <w:shd w:val="clear" w:color="auto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说明</w:t>
            </w:r>
          </w:p>
        </w:tc>
      </w:tr>
      <w:tr>
        <w:tc>
          <w:tcPr>
            <w:tcW w:type="dxa" w:w="1800"/>
          </w:tcPr>
          <w:p>
            <w:r/>
            <w:r>
              <w:rPr>
                <w:rFonts w:ascii="微软雅黑" w:hAnsi="微软雅黑" w:eastAsia="微软雅黑"/>
                <w:sz w:val="21"/>
              </w:rPr>
              <w:t>登录账号</w:t>
            </w:r>
          </w:p>
        </w:tc>
        <w:tc>
          <w:tcPr>
            <w:tcW w:type="dxa" w:w="3000"/>
          </w:tcPr>
          <w:p>
            <w:r/>
            <w:r>
              <w:rPr>
                <w:rFonts w:ascii="微软雅黑" w:hAnsi="微软雅黑" w:eastAsia="微软雅黑"/>
                <w:sz w:val="21"/>
              </w:rPr>
              <w:t>登录页</w:t>
            </w:r>
          </w:p>
        </w:tc>
        <w:tc>
          <w:tcPr>
            <w:tcW w:type="dxa" w:w="4600"/>
          </w:tcPr>
          <w:p>
            <w:r/>
            <w:r>
              <w:rPr>
                <w:rFonts w:ascii="微软雅黑" w:hAnsi="微软雅黑" w:eastAsia="微软雅黑"/>
                <w:sz w:val="21"/>
              </w:rPr>
              <w:t>默认用户名 root，密码 Capacity，登录后可在系统设置中修改</w:t>
            </w:r>
          </w:p>
        </w:tc>
      </w:tr>
      <w:tr>
        <w:tc>
          <w:tcPr>
            <w:tcW w:type="dxa" w:w="1800"/>
          </w:tcPr>
          <w:p>
            <w:r/>
            <w:r>
              <w:rPr>
                <w:rFonts w:ascii="微软雅黑" w:hAnsi="微软雅黑" w:eastAsia="微软雅黑"/>
                <w:sz w:val="21"/>
              </w:rPr>
              <w:t>数据库</w:t>
            </w:r>
          </w:p>
        </w:tc>
        <w:tc>
          <w:tcPr>
            <w:tcW w:type="dxa" w:w="3000"/>
          </w:tcPr>
          <w:p>
            <w:r/>
            <w:r>
              <w:rPr>
                <w:rFonts w:ascii="微软雅黑" w:hAnsi="微软雅黑" w:eastAsia="微软雅黑"/>
                <w:sz w:val="21"/>
              </w:rPr>
              <w:t>系统设置 - 数据库</w:t>
            </w:r>
          </w:p>
        </w:tc>
        <w:tc>
          <w:tcPr>
            <w:tcW w:type="dxa" w:w="4600"/>
          </w:tcPr>
          <w:p>
            <w:r/>
            <w:r>
              <w:rPr>
                <w:rFonts w:ascii="微软雅黑" w:hAnsi="微软雅黑" w:eastAsia="微软雅黑"/>
                <w:sz w:val="21"/>
              </w:rPr>
              <w:t>填写 MySQL 主机、端口、库名、账号密码并测试连接</w:t>
            </w:r>
          </w:p>
        </w:tc>
      </w:tr>
      <w:tr>
        <w:tc>
          <w:tcPr>
            <w:tcW w:type="dxa" w:w="1800"/>
          </w:tcPr>
          <w:p>
            <w:r/>
            <w:r>
              <w:rPr>
                <w:rFonts w:ascii="微软雅黑" w:hAnsi="微软雅黑" w:eastAsia="微软雅黑"/>
                <w:sz w:val="21"/>
              </w:rPr>
              <w:t>远程数据源</w:t>
            </w:r>
          </w:p>
        </w:tc>
        <w:tc>
          <w:tcPr>
            <w:tcW w:type="dxa" w:w="3000"/>
          </w:tcPr>
          <w:p>
            <w:r/>
            <w:r>
              <w:rPr>
                <w:rFonts w:ascii="微软雅黑" w:hAnsi="微软雅黑" w:eastAsia="微软雅黑"/>
                <w:sz w:val="21"/>
              </w:rPr>
              <w:t>系统设置 - 远程数据源</w:t>
            </w:r>
          </w:p>
        </w:tc>
        <w:tc>
          <w:tcPr>
            <w:tcW w:type="dxa" w:w="4600"/>
          </w:tcPr>
          <w:p>
            <w:r/>
            <w:r>
              <w:rPr>
                <w:rFonts w:ascii="微软雅黑" w:hAnsi="微软雅黑" w:eastAsia="微软雅黑"/>
                <w:sz w:val="21"/>
              </w:rPr>
              <w:t>配置 FTP/SFTP 服务器与目录（远程下载时使用）</w:t>
            </w:r>
          </w:p>
        </w:tc>
      </w:tr>
      <w:tr>
        <w:tc>
          <w:tcPr>
            <w:tcW w:type="dxa" w:w="1800"/>
          </w:tcPr>
          <w:p>
            <w:r/>
            <w:r>
              <w:rPr>
                <w:rFonts w:ascii="微软雅黑" w:hAnsi="微软雅黑" w:eastAsia="微软雅黑"/>
                <w:sz w:val="21"/>
              </w:rPr>
              <w:t>自动调度</w:t>
            </w:r>
          </w:p>
        </w:tc>
        <w:tc>
          <w:tcPr>
            <w:tcW w:type="dxa" w:w="3000"/>
          </w:tcPr>
          <w:p>
            <w:r/>
            <w:r>
              <w:rPr>
                <w:rFonts w:ascii="微软雅黑" w:hAnsi="微软雅黑" w:eastAsia="微软雅黑"/>
                <w:sz w:val="21"/>
              </w:rPr>
              <w:t>系统设置 - 自动调度</w:t>
            </w:r>
          </w:p>
        </w:tc>
        <w:tc>
          <w:tcPr>
            <w:tcW w:type="dxa" w:w="4600"/>
          </w:tcPr>
          <w:p>
            <w:r/>
            <w:r>
              <w:rPr>
                <w:rFonts w:ascii="微软雅黑" w:hAnsi="微软雅黑" w:eastAsia="微软雅黑"/>
                <w:sz w:val="21"/>
              </w:rPr>
              <w:t>可选，按自然周自动检查并处理远程数据</w:t>
            </w:r>
          </w:p>
        </w:tc>
      </w:tr>
      <w:tr>
        <w:tc>
          <w:tcPr>
            <w:tcW w:type="dxa" w:w="1800"/>
          </w:tcPr>
          <w:p>
            <w:r/>
            <w:r>
              <w:rPr>
                <w:rFonts w:ascii="微软雅黑" w:hAnsi="微软雅黑" w:eastAsia="微软雅黑"/>
                <w:sz w:val="21"/>
              </w:rPr>
              <w:t>字段映射</w:t>
            </w:r>
          </w:p>
        </w:tc>
        <w:tc>
          <w:tcPr>
            <w:tcW w:type="dxa" w:w="3000"/>
          </w:tcPr>
          <w:p>
            <w:r/>
            <w:r>
              <w:rPr>
                <w:rFonts w:ascii="微软雅黑" w:hAnsi="微软雅黑" w:eastAsia="微软雅黑"/>
                <w:sz w:val="21"/>
              </w:rPr>
              <w:t>系统设置 - 规则映射</w:t>
            </w:r>
          </w:p>
        </w:tc>
        <w:tc>
          <w:tcPr>
            <w:tcW w:type="dxa" w:w="4600"/>
          </w:tcPr>
          <w:p>
            <w:r/>
            <w:r>
              <w:rPr>
                <w:rFonts w:ascii="微软雅黑" w:hAnsi="微软雅黑" w:eastAsia="微软雅黑"/>
                <w:sz w:val="21"/>
              </w:rPr>
              <w:t>配置源字段到目标字段的映射、Sheet 过滤、目录映射</w:t>
            </w:r>
          </w:p>
        </w:tc>
      </w:tr>
    </w:tbl>
    <w:p/>
    <w:p>
      <w:pPr>
        <w:spacing w:before="240" w:after="120"/>
      </w:pPr>
      <w:r>
        <w:rPr>
          <w:rFonts w:ascii="微软雅黑" w:hAnsi="微软雅黑" w:eastAsia="微软雅黑"/>
          <w:b/>
          <w:color w:val="1F6FEB"/>
          <w:sz w:val="32"/>
        </w:rPr>
        <w:t>三、使用指南</w:t>
      </w:r>
    </w:p>
    <w:p>
      <w:pPr>
        <w:spacing w:before="120"/>
      </w:pPr>
      <w:r>
        <w:rPr>
          <w:rFonts w:ascii="微软雅黑" w:hAnsi="微软雅黑" w:eastAsia="微软雅黑"/>
          <w:b/>
          <w:color w:val="222222"/>
          <w:sz w:val="26"/>
        </w:rPr>
        <w:t>1. 基本用法</w:t>
      </w:r>
    </w:p>
    <w:p>
      <w:r>
        <w:rPr>
          <w:rFonts w:ascii="微软雅黑" w:hAnsi="微软雅黑" w:eastAsia="微软雅黑"/>
        </w:rPr>
        <w:t>系统主界面左侧导航包含 6 个功能模块：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1800"/>
            <w:shd w:val="clear" w:color="auto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模块</w:t>
            </w:r>
          </w:p>
        </w:tc>
        <w:tc>
          <w:tcPr>
            <w:tcW w:type="dxa" w:w="7600"/>
            <w:shd w:val="clear" w:color="auto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用途</w:t>
            </w:r>
          </w:p>
        </w:tc>
      </w:tr>
      <w:tr>
        <w:tc>
          <w:tcPr>
            <w:tcW w:type="dxa" w:w="1800"/>
          </w:tcPr>
          <w:p>
            <w:r/>
            <w:r>
              <w:rPr>
                <w:rFonts w:ascii="微软雅黑" w:hAnsi="微软雅黑" w:eastAsia="微软雅黑"/>
                <w:sz w:val="21"/>
              </w:rPr>
              <w:t>数据处理</w:t>
            </w:r>
          </w:p>
        </w:tc>
        <w:tc>
          <w:tcPr>
            <w:tcW w:type="dxa" w:w="7600"/>
          </w:tcPr>
          <w:p>
            <w:r/>
            <w:r>
              <w:rPr>
                <w:rFonts w:ascii="微软雅黑" w:hAnsi="微软雅黑" w:eastAsia="微软雅黑"/>
                <w:sz w:val="21"/>
              </w:rPr>
              <w:t>本地上传或远程下载数据，清洗后入库并执行报表 SQL</w:t>
            </w:r>
          </w:p>
        </w:tc>
      </w:tr>
      <w:tr>
        <w:tc>
          <w:tcPr>
            <w:tcW w:type="dxa" w:w="1800"/>
          </w:tcPr>
          <w:p>
            <w:r/>
            <w:r>
              <w:rPr>
                <w:rFonts w:ascii="微软雅黑" w:hAnsi="微软雅黑" w:eastAsia="微软雅黑"/>
                <w:sz w:val="21"/>
              </w:rPr>
              <w:t>容量看板</w:t>
            </w:r>
          </w:p>
        </w:tc>
        <w:tc>
          <w:tcPr>
            <w:tcW w:type="dxa" w:w="7600"/>
          </w:tcPr>
          <w:p>
            <w:r/>
            <w:r>
              <w:rPr>
                <w:rFonts w:ascii="微软雅黑" w:hAnsi="微软雅黑" w:eastAsia="微软雅黑"/>
                <w:sz w:val="21"/>
              </w:rPr>
              <w:t>4G/5G 高负荷小区分析大屏（汇总、图表、问题清单、单小区详情）</w:t>
            </w:r>
          </w:p>
        </w:tc>
      </w:tr>
      <w:tr>
        <w:tc>
          <w:tcPr>
            <w:tcW w:type="dxa" w:w="1800"/>
          </w:tcPr>
          <w:p>
            <w:r/>
            <w:r>
              <w:rPr>
                <w:rFonts w:ascii="微软雅黑" w:hAnsi="微软雅黑" w:eastAsia="微软雅黑"/>
                <w:sz w:val="21"/>
              </w:rPr>
              <w:t>处理历史</w:t>
            </w:r>
          </w:p>
        </w:tc>
        <w:tc>
          <w:tcPr>
            <w:tcW w:type="dxa" w:w="7600"/>
          </w:tcPr>
          <w:p>
            <w:r/>
            <w:r>
              <w:rPr>
                <w:rFonts w:ascii="微软雅黑" w:hAnsi="微软雅黑" w:eastAsia="微软雅黑"/>
                <w:sz w:val="21"/>
              </w:rPr>
              <w:t>查看历史任务、处理日志，浏览/下载历史原始数据</w:t>
            </w:r>
          </w:p>
        </w:tc>
      </w:tr>
      <w:tr>
        <w:tc>
          <w:tcPr>
            <w:tcW w:type="dxa" w:w="1800"/>
          </w:tcPr>
          <w:p>
            <w:r/>
            <w:r>
              <w:rPr>
                <w:rFonts w:ascii="微软雅黑" w:hAnsi="微软雅黑" w:eastAsia="微软雅黑"/>
                <w:sz w:val="21"/>
              </w:rPr>
              <w:t>数据管理</w:t>
            </w:r>
          </w:p>
        </w:tc>
        <w:tc>
          <w:tcPr>
            <w:tcW w:type="dxa" w:w="7600"/>
          </w:tcPr>
          <w:p>
            <w:r/>
            <w:r>
              <w:rPr>
                <w:rFonts w:ascii="微软雅黑" w:hAnsi="微软雅黑" w:eastAsia="微软雅黑"/>
                <w:sz w:val="21"/>
              </w:rPr>
              <w:t>浏览、编辑、导入导出数据库表，在线执行 SQL</w:t>
            </w:r>
          </w:p>
        </w:tc>
      </w:tr>
      <w:tr>
        <w:tc>
          <w:tcPr>
            <w:tcW w:type="dxa" w:w="1800"/>
          </w:tcPr>
          <w:p>
            <w:r/>
            <w:r>
              <w:rPr>
                <w:rFonts w:ascii="微软雅黑" w:hAnsi="微软雅黑" w:eastAsia="微软雅黑"/>
                <w:sz w:val="21"/>
              </w:rPr>
              <w:t>脚本编辑</w:t>
            </w:r>
          </w:p>
        </w:tc>
        <w:tc>
          <w:tcPr>
            <w:tcW w:type="dxa" w:w="7600"/>
          </w:tcPr>
          <w:p>
            <w:r/>
            <w:r>
              <w:rPr>
                <w:rFonts w:ascii="微软雅黑" w:hAnsi="微软雅黑" w:eastAsia="微软雅黑"/>
                <w:sz w:val="21"/>
              </w:rPr>
              <w:t>在线编辑并执行容量报表 SQL / CellData SQL</w:t>
            </w:r>
          </w:p>
        </w:tc>
      </w:tr>
      <w:tr>
        <w:tc>
          <w:tcPr>
            <w:tcW w:type="dxa" w:w="1800"/>
          </w:tcPr>
          <w:p>
            <w:r/>
            <w:r>
              <w:rPr>
                <w:rFonts w:ascii="微软雅黑" w:hAnsi="微软雅黑" w:eastAsia="微软雅黑"/>
                <w:sz w:val="21"/>
              </w:rPr>
              <w:t>系统设置</w:t>
            </w:r>
          </w:p>
        </w:tc>
        <w:tc>
          <w:tcPr>
            <w:tcW w:type="dxa" w:w="7600"/>
          </w:tcPr>
          <w:p>
            <w:r/>
            <w:r>
              <w:rPr>
                <w:rFonts w:ascii="微软雅黑" w:hAnsi="微软雅黑" w:eastAsia="微软雅黑"/>
                <w:sz w:val="21"/>
              </w:rPr>
              <w:t>数据库、远程数据源、字段映射、自动调度等配置</w:t>
            </w:r>
          </w:p>
        </w:tc>
      </w:tr>
    </w:tbl>
    <w:p/>
    <w:p>
      <w:pPr>
        <w:spacing w:before="120"/>
      </w:pPr>
      <w:r>
        <w:rPr>
          <w:rFonts w:ascii="微软雅黑" w:hAnsi="微软雅黑" w:eastAsia="微软雅黑"/>
          <w:b/>
          <w:color w:val="222222"/>
          <w:sz w:val="26"/>
        </w:rPr>
        <w:t>2. 使用示例</w:t>
      </w:r>
    </w:p>
    <w:p>
      <w:pPr>
        <w:pStyle w:val="ListBullet"/>
      </w:pPr>
      <w:r>
        <w:rPr>
          <w:rFonts w:ascii="微软雅黑" w:hAnsi="微软雅黑" w:eastAsia="微软雅黑"/>
        </w:rPr>
        <w:t>本地处理：进入数据处理页，将本周数据文件（.zip/.xlsx/.xls/.csv）拖入容量数据区，系统自动解压、清洗、入库并执行报表 SQL。</w:t>
      </w:r>
    </w:p>
    <w:p>
      <w:pPr>
        <w:pStyle w:val="ListBullet"/>
      </w:pPr>
      <w:r>
        <w:rPr>
          <w:rFonts w:ascii="微软雅黑" w:hAnsi="微软雅黑" w:eastAsia="微软雅黑"/>
        </w:rPr>
        <w:t>远程处理：配置好远程数据源后，点击数据处理页的“远程下载并处理”，系统自动下载并处理。</w:t>
      </w:r>
    </w:p>
    <w:p>
      <w:pPr>
        <w:pStyle w:val="ListBullet"/>
      </w:pPr>
      <w:r>
        <w:rPr>
          <w:rFonts w:ascii="微软雅黑" w:hAnsi="微软雅黑" w:eastAsia="微软雅黑"/>
        </w:rPr>
        <w:t>查看结果：处理完成后进入容量看板，切换 4G/5G 查看高负荷小区分析，点击问题小区可查看详情与优化建议。</w:t>
      </w:r>
    </w:p>
    <w:p>
      <w:pPr>
        <w:pStyle w:val="ListBullet"/>
      </w:pPr>
      <w:r>
        <w:rPr>
          <w:rFonts w:ascii="微软雅黑" w:hAnsi="微软雅黑" w:eastAsia="微软雅黑"/>
        </w:rPr>
        <w:t>导出数据：在数据管理页选择结果表，导出为 CSV 或 XLSX。</w:t>
      </w:r>
    </w:p>
    <w:p>
      <w:pPr>
        <w:spacing w:before="240" w:after="120"/>
      </w:pPr>
      <w:r>
        <w:rPr>
          <w:rFonts w:ascii="微软雅黑" w:hAnsi="微软雅黑" w:eastAsia="微软雅黑"/>
          <w:b/>
          <w:color w:val="1F6FEB"/>
          <w:sz w:val="32"/>
        </w:rPr>
        <w:t>四、常见问题与解答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3000"/>
            <w:shd w:val="clear" w:color="auto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常见问题</w:t>
            </w:r>
          </w:p>
        </w:tc>
        <w:tc>
          <w:tcPr>
            <w:tcW w:type="dxa" w:w="6400"/>
            <w:shd w:val="clear" w:color="auto" w:fill="1F6FEB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解决方法</w:t>
            </w:r>
          </w:p>
        </w:tc>
      </w:tr>
      <w:tr>
        <w:tc>
          <w:tcPr>
            <w:tcW w:type="dxa" w:w="3000"/>
          </w:tcPr>
          <w:p>
            <w:r/>
            <w:r>
              <w:rPr>
                <w:rFonts w:ascii="微软雅黑" w:hAnsi="微软雅黑" w:eastAsia="微软雅黑"/>
                <w:sz w:val="21"/>
              </w:rPr>
              <w:t>启动后无法访问页面</w:t>
            </w:r>
          </w:p>
        </w:tc>
        <w:tc>
          <w:tcPr>
            <w:tcW w:type="dxa" w:w="6400"/>
          </w:tcPr>
          <w:p>
            <w:r/>
            <w:r>
              <w:rPr>
                <w:rFonts w:ascii="微软雅黑" w:hAnsi="微软雅黑" w:eastAsia="微软雅黑"/>
                <w:sz w:val="21"/>
              </w:rPr>
              <w:t>确认服务已启动，浏览器访问 http://localhost:9081；如端口被占用可更换端口</w:t>
            </w:r>
          </w:p>
        </w:tc>
      </w:tr>
      <w:tr>
        <w:tc>
          <w:tcPr>
            <w:tcW w:type="dxa" w:w="3000"/>
          </w:tcPr>
          <w:p>
            <w:r/>
            <w:r>
              <w:rPr>
                <w:rFonts w:ascii="微软雅黑" w:hAnsi="微软雅黑" w:eastAsia="微软雅黑"/>
                <w:sz w:val="21"/>
              </w:rPr>
              <w:t>桌面版启动闪退</w:t>
            </w:r>
          </w:p>
        </w:tc>
        <w:tc>
          <w:tcPr>
            <w:tcW w:type="dxa" w:w="6400"/>
          </w:tcPr>
          <w:p>
            <w:r/>
            <w:r>
              <w:rPr>
                <w:rFonts w:ascii="微软雅黑" w:hAnsi="微软雅黑" w:eastAsia="微软雅黑"/>
                <w:sz w:val="21"/>
              </w:rPr>
              <w:t>多为 9081 端口被其他进程占用，结束占用进程后重新启动即可</w:t>
            </w:r>
          </w:p>
        </w:tc>
      </w:tr>
      <w:tr>
        <w:tc>
          <w:tcPr>
            <w:tcW w:type="dxa" w:w="3000"/>
          </w:tcPr>
          <w:p>
            <w:r/>
            <w:r>
              <w:rPr>
                <w:rFonts w:ascii="微软雅黑" w:hAnsi="微软雅黑" w:eastAsia="微软雅黑"/>
                <w:sz w:val="21"/>
              </w:rPr>
              <w:t>登录失败</w:t>
            </w:r>
          </w:p>
        </w:tc>
        <w:tc>
          <w:tcPr>
            <w:tcW w:type="dxa" w:w="6400"/>
          </w:tcPr>
          <w:p>
            <w:r/>
            <w:r>
              <w:rPr>
                <w:rFonts w:ascii="微软雅黑" w:hAnsi="微软雅黑" w:eastAsia="微软雅黑"/>
                <w:sz w:val="21"/>
              </w:rPr>
              <w:t>确认账号密码，默认 root / Capacity，密码区分大小写</w:t>
            </w:r>
          </w:p>
        </w:tc>
      </w:tr>
      <w:tr>
        <w:tc>
          <w:tcPr>
            <w:tcW w:type="dxa" w:w="3000"/>
          </w:tcPr>
          <w:p>
            <w:r/>
            <w:r>
              <w:rPr>
                <w:rFonts w:ascii="微软雅黑" w:hAnsi="微软雅黑" w:eastAsia="微软雅黑"/>
                <w:sz w:val="21"/>
              </w:rPr>
              <w:t>数据库连接失败</w:t>
            </w:r>
          </w:p>
        </w:tc>
        <w:tc>
          <w:tcPr>
            <w:tcW w:type="dxa" w:w="6400"/>
          </w:tcPr>
          <w:p>
            <w:r/>
            <w:r>
              <w:rPr>
                <w:rFonts w:ascii="微软雅黑" w:hAnsi="微软雅黑" w:eastAsia="微软雅黑"/>
                <w:sz w:val="21"/>
              </w:rPr>
              <w:t>在系统设置检查 MySQL 主机/端口/账号密码，并点击测试连接</w:t>
            </w:r>
          </w:p>
        </w:tc>
      </w:tr>
      <w:tr>
        <w:tc>
          <w:tcPr>
            <w:tcW w:type="dxa" w:w="3000"/>
          </w:tcPr>
          <w:p>
            <w:r/>
            <w:r>
              <w:rPr>
                <w:rFonts w:ascii="微软雅黑" w:hAnsi="微软雅黑" w:eastAsia="微软雅黑"/>
                <w:sz w:val="21"/>
              </w:rPr>
              <w:t>远程连接失败</w:t>
            </w:r>
          </w:p>
        </w:tc>
        <w:tc>
          <w:tcPr>
            <w:tcW w:type="dxa" w:w="6400"/>
          </w:tcPr>
          <w:p>
            <w:r/>
            <w:r>
              <w:rPr>
                <w:rFonts w:ascii="微软雅黑" w:hAnsi="微软雅黑" w:eastAsia="微软雅黑"/>
                <w:sz w:val="21"/>
              </w:rPr>
              <w:t>在系统设置检查 FTP/SFTP 地址、端口、账号密码与远程目录</w:t>
            </w:r>
          </w:p>
        </w:tc>
      </w:tr>
      <w:tr>
        <w:tc>
          <w:tcPr>
            <w:tcW w:type="dxa" w:w="3000"/>
          </w:tcPr>
          <w:p>
            <w:r/>
            <w:r>
              <w:rPr>
                <w:rFonts w:ascii="微软雅黑" w:hAnsi="微软雅黑" w:eastAsia="微软雅黑"/>
                <w:sz w:val="21"/>
              </w:rPr>
              <w:t>处理任务无法启动</w:t>
            </w:r>
          </w:p>
        </w:tc>
        <w:tc>
          <w:tcPr>
            <w:tcW w:type="dxa" w:w="6400"/>
          </w:tcPr>
          <w:p>
            <w:r/>
            <w:r>
              <w:rPr>
                <w:rFonts w:ascii="微软雅黑" w:hAnsi="微软雅黑" w:eastAsia="微软雅黑"/>
                <w:sz w:val="21"/>
              </w:rPr>
              <w:t>同一时间只能运行一个任务，请等待当前任务完成后再发起</w:t>
            </w:r>
          </w:p>
        </w:tc>
      </w:tr>
      <w:tr>
        <w:tc>
          <w:tcPr>
            <w:tcW w:type="dxa" w:w="3000"/>
          </w:tcPr>
          <w:p>
            <w:r/>
            <w:r>
              <w:rPr>
                <w:rFonts w:ascii="微软雅黑" w:hAnsi="微软雅黑" w:eastAsia="微软雅黑"/>
                <w:sz w:val="21"/>
              </w:rPr>
              <w:t>授权已过期</w:t>
            </w:r>
          </w:p>
        </w:tc>
        <w:tc>
          <w:tcPr>
            <w:tcW w:type="dxa" w:w="6400"/>
          </w:tcPr>
          <w:p>
            <w:r/>
            <w:r>
              <w:rPr>
                <w:rFonts w:ascii="微软雅黑" w:hAnsi="微软雅黑" w:eastAsia="微软雅黑"/>
                <w:sz w:val="21"/>
              </w:rPr>
              <w:t>处理时按数据日期校验授权，可在弹出的激活框输入激活码延长有效期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36" w:lineRule="auto"/>
    </w:pPr>
    <w:rPr>
      <w:rFonts w:ascii="微软雅黑" w:hAnsi="微软雅黑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